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3461" w14:textId="19B5B52F" w:rsidR="00405711" w:rsidRDefault="00017946">
      <w:pPr>
        <w:rPr>
          <w:rFonts w:ascii="Neris Light" w:hAnsi="Neris Light"/>
          <w:sz w:val="56"/>
          <w:szCs w:val="56"/>
        </w:rPr>
      </w:pPr>
      <w:r>
        <w:rPr>
          <w:rFonts w:ascii="Neris Light" w:hAnsi="Neris Light"/>
          <w:b/>
          <w:bCs/>
          <w:noProof/>
          <w:color w:val="3CA7AE"/>
          <w:sz w:val="96"/>
          <w:szCs w:val="96"/>
        </w:rPr>
        <w:drawing>
          <wp:anchor distT="0" distB="0" distL="114300" distR="114300" simplePos="0" relativeHeight="251658240" behindDoc="1" locked="0" layoutInCell="1" allowOverlap="1" wp14:anchorId="40CB7B44" wp14:editId="0F3DB272">
            <wp:simplePos x="0" y="0"/>
            <wp:positionH relativeFrom="page">
              <wp:align>left</wp:align>
            </wp:positionH>
            <wp:positionV relativeFrom="paragraph">
              <wp:posOffset>-932502</wp:posOffset>
            </wp:positionV>
            <wp:extent cx="7571946" cy="10710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1946" cy="10710640"/>
                    </a:xfrm>
                    <a:prstGeom prst="rect">
                      <a:avLst/>
                    </a:prstGeom>
                  </pic:spPr>
                </pic:pic>
              </a:graphicData>
            </a:graphic>
            <wp14:sizeRelH relativeFrom="page">
              <wp14:pctWidth>0</wp14:pctWidth>
            </wp14:sizeRelH>
            <wp14:sizeRelV relativeFrom="page">
              <wp14:pctHeight>0</wp14:pctHeight>
            </wp14:sizeRelV>
          </wp:anchor>
        </w:drawing>
      </w:r>
    </w:p>
    <w:p w14:paraId="4B8C6840" w14:textId="6523F0CA" w:rsidR="00795080" w:rsidRDefault="00795080" w:rsidP="00405711">
      <w:pPr>
        <w:jc w:val="center"/>
        <w:rPr>
          <w:rFonts w:ascii="Neris Light" w:hAnsi="Neris Light"/>
          <w:sz w:val="56"/>
          <w:szCs w:val="56"/>
        </w:rPr>
      </w:pPr>
    </w:p>
    <w:p w14:paraId="59E60ECF" w14:textId="16FD2502" w:rsidR="00795080" w:rsidRDefault="00795080" w:rsidP="00405711">
      <w:pPr>
        <w:jc w:val="center"/>
        <w:rPr>
          <w:rFonts w:ascii="Neris Light" w:hAnsi="Neris Light"/>
          <w:sz w:val="56"/>
          <w:szCs w:val="56"/>
        </w:rPr>
      </w:pPr>
    </w:p>
    <w:p w14:paraId="5FF21111" w14:textId="0FA46D79" w:rsidR="00795080" w:rsidRDefault="00795080" w:rsidP="00405711">
      <w:pPr>
        <w:jc w:val="center"/>
        <w:rPr>
          <w:rFonts w:ascii="Neris Light" w:hAnsi="Neris Light"/>
          <w:b/>
          <w:bCs/>
          <w:color w:val="3CA7AE"/>
          <w:sz w:val="40"/>
          <w:szCs w:val="40"/>
        </w:rPr>
      </w:pPr>
    </w:p>
    <w:p w14:paraId="5B984631" w14:textId="77777777" w:rsidR="00E868D9" w:rsidRDefault="00E868D9" w:rsidP="00405711">
      <w:pPr>
        <w:jc w:val="center"/>
        <w:rPr>
          <w:rFonts w:ascii="Neris Light" w:hAnsi="Neris Light"/>
          <w:b/>
          <w:bCs/>
          <w:color w:val="3CA7AE"/>
          <w:sz w:val="44"/>
          <w:szCs w:val="44"/>
        </w:rPr>
      </w:pPr>
    </w:p>
    <w:p w14:paraId="419BA759" w14:textId="69EADC49" w:rsidR="00625B3E" w:rsidRPr="001D5A41" w:rsidRDefault="008A65D9" w:rsidP="008A65D9">
      <w:pPr>
        <w:pStyle w:val="Title"/>
        <w:rPr>
          <w:rFonts w:ascii="Calibri" w:hAnsi="Calibri" w:cs="Calibri"/>
          <w:sz w:val="72"/>
          <w:szCs w:val="72"/>
        </w:rPr>
      </w:pPr>
      <w:r w:rsidRPr="001D5A41">
        <w:rPr>
          <w:rFonts w:ascii="Calibri" w:hAnsi="Calibri" w:cs="Calibri"/>
          <w:sz w:val="72"/>
          <w:szCs w:val="72"/>
        </w:rPr>
        <w:t>Charging and Remissions</w:t>
      </w:r>
    </w:p>
    <w:p w14:paraId="4A9975F2" w14:textId="77777777" w:rsidR="00017946" w:rsidRDefault="00017946" w:rsidP="00625B3E">
      <w:pPr>
        <w:jc w:val="center"/>
        <w:rPr>
          <w:rFonts w:ascii="Neris Light" w:hAnsi="Neris Light"/>
          <w:b/>
          <w:bCs/>
          <w:color w:val="3CA7AE"/>
          <w:sz w:val="96"/>
          <w:szCs w:val="96"/>
        </w:rPr>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70" w:type="dxa"/>
          <w:left w:w="170" w:type="dxa"/>
          <w:bottom w:w="170" w:type="dxa"/>
          <w:right w:w="170" w:type="dxa"/>
        </w:tblCellMar>
        <w:tblLook w:val="04A0" w:firstRow="1" w:lastRow="0" w:firstColumn="1" w:lastColumn="0" w:noHBand="0" w:noVBand="1"/>
      </w:tblPr>
      <w:tblGrid>
        <w:gridCol w:w="3681"/>
        <w:gridCol w:w="5812"/>
      </w:tblGrid>
      <w:tr w:rsidR="007A117E" w14:paraId="76D476A8" w14:textId="77777777" w:rsidTr="00C36450">
        <w:trPr>
          <w:trHeight w:val="454"/>
        </w:trPr>
        <w:tc>
          <w:tcPr>
            <w:tcW w:w="3681" w:type="dxa"/>
            <w:shd w:val="clear" w:color="auto" w:fill="E7E6E6" w:themeFill="background2"/>
            <w:vAlign w:val="center"/>
          </w:tcPr>
          <w:p w14:paraId="796C5365" w14:textId="11431BAF" w:rsidR="007A117E" w:rsidRPr="001D5A41" w:rsidRDefault="007A117E" w:rsidP="00257C8B">
            <w:pPr>
              <w:pStyle w:val="MainBody"/>
              <w:rPr>
                <w:rFonts w:ascii="Calibri" w:hAnsi="Calibri" w:cs="Calibri"/>
                <w:b/>
                <w:bCs/>
                <w:color w:val="auto"/>
              </w:rPr>
            </w:pPr>
            <w:r w:rsidRPr="001D5A41">
              <w:rPr>
                <w:rFonts w:ascii="Calibri" w:hAnsi="Calibri" w:cs="Calibri"/>
                <w:b/>
                <w:bCs/>
                <w:color w:val="auto"/>
              </w:rPr>
              <w:t>Policy Lead:</w:t>
            </w:r>
          </w:p>
        </w:tc>
        <w:tc>
          <w:tcPr>
            <w:tcW w:w="5812" w:type="dxa"/>
            <w:shd w:val="clear" w:color="auto" w:fill="FFFFFF" w:themeFill="background1"/>
            <w:vAlign w:val="center"/>
          </w:tcPr>
          <w:p w14:paraId="4BC83A9C" w14:textId="2DC077C4" w:rsidR="007A117E" w:rsidRPr="001D5A41" w:rsidRDefault="008A65D9" w:rsidP="00257C8B">
            <w:pPr>
              <w:pStyle w:val="MainBody"/>
              <w:rPr>
                <w:rFonts w:ascii="Calibri" w:hAnsi="Calibri" w:cs="Calibri"/>
                <w:b/>
                <w:bCs/>
                <w:color w:val="auto"/>
              </w:rPr>
            </w:pPr>
            <w:r w:rsidRPr="001D5A41">
              <w:rPr>
                <w:rFonts w:ascii="Calibri" w:hAnsi="Calibri" w:cs="Calibri"/>
                <w:b/>
                <w:bCs/>
                <w:color w:val="auto"/>
              </w:rPr>
              <w:t>Business Manager</w:t>
            </w:r>
          </w:p>
        </w:tc>
      </w:tr>
      <w:tr w:rsidR="007A117E" w14:paraId="04EB9825" w14:textId="77777777" w:rsidTr="00C36450">
        <w:trPr>
          <w:trHeight w:val="454"/>
        </w:trPr>
        <w:tc>
          <w:tcPr>
            <w:tcW w:w="3681" w:type="dxa"/>
            <w:shd w:val="clear" w:color="auto" w:fill="E7E6E6" w:themeFill="background2"/>
            <w:vAlign w:val="center"/>
          </w:tcPr>
          <w:p w14:paraId="4FD8F055" w14:textId="00752576" w:rsidR="007A117E" w:rsidRPr="001D5A41" w:rsidRDefault="007A117E" w:rsidP="00257C8B">
            <w:pPr>
              <w:pStyle w:val="MainBody"/>
              <w:rPr>
                <w:rFonts w:ascii="Calibri" w:hAnsi="Calibri" w:cs="Calibri"/>
                <w:b/>
                <w:bCs/>
                <w:color w:val="auto"/>
              </w:rPr>
            </w:pPr>
            <w:r w:rsidRPr="001D5A41">
              <w:rPr>
                <w:rFonts w:ascii="Calibri" w:hAnsi="Calibri" w:cs="Calibri"/>
                <w:b/>
                <w:bCs/>
                <w:color w:val="auto"/>
              </w:rPr>
              <w:t>Date approved by Governing Body:</w:t>
            </w:r>
          </w:p>
        </w:tc>
        <w:tc>
          <w:tcPr>
            <w:tcW w:w="5812" w:type="dxa"/>
            <w:shd w:val="clear" w:color="auto" w:fill="FFFFFF" w:themeFill="background1"/>
            <w:vAlign w:val="center"/>
          </w:tcPr>
          <w:p w14:paraId="5088DCE5" w14:textId="3D6F64F1" w:rsidR="007A117E" w:rsidRPr="001D5A41" w:rsidRDefault="00017946" w:rsidP="00257C8B">
            <w:pPr>
              <w:pStyle w:val="MainBody"/>
              <w:rPr>
                <w:rFonts w:ascii="Calibri" w:hAnsi="Calibri" w:cs="Calibri"/>
                <w:b/>
                <w:bCs/>
                <w:color w:val="auto"/>
              </w:rPr>
            </w:pPr>
            <w:r w:rsidRPr="001D5A41">
              <w:rPr>
                <w:rFonts w:ascii="Calibri" w:hAnsi="Calibri" w:cs="Calibri"/>
                <w:b/>
                <w:bCs/>
                <w:color w:val="auto"/>
              </w:rPr>
              <w:t>November 2024</w:t>
            </w:r>
          </w:p>
        </w:tc>
      </w:tr>
      <w:tr w:rsidR="007A117E" w14:paraId="1B1ADC7B" w14:textId="77777777" w:rsidTr="00C36450">
        <w:trPr>
          <w:trHeight w:val="454"/>
        </w:trPr>
        <w:tc>
          <w:tcPr>
            <w:tcW w:w="3681" w:type="dxa"/>
            <w:shd w:val="clear" w:color="auto" w:fill="E7E6E6" w:themeFill="background2"/>
            <w:vAlign w:val="center"/>
          </w:tcPr>
          <w:p w14:paraId="14C87A03" w14:textId="7C2E24B5" w:rsidR="007A117E" w:rsidRPr="001D5A41" w:rsidRDefault="007A117E" w:rsidP="00257C8B">
            <w:pPr>
              <w:pStyle w:val="MainBody"/>
              <w:rPr>
                <w:rFonts w:ascii="Calibri" w:hAnsi="Calibri" w:cs="Calibri"/>
                <w:b/>
                <w:bCs/>
                <w:color w:val="auto"/>
              </w:rPr>
            </w:pPr>
            <w:r w:rsidRPr="001D5A41">
              <w:rPr>
                <w:rFonts w:ascii="Calibri" w:hAnsi="Calibri" w:cs="Calibri"/>
                <w:b/>
                <w:bCs/>
                <w:color w:val="auto"/>
              </w:rPr>
              <w:t>Date of Review:</w:t>
            </w:r>
          </w:p>
        </w:tc>
        <w:tc>
          <w:tcPr>
            <w:tcW w:w="5812" w:type="dxa"/>
            <w:shd w:val="clear" w:color="auto" w:fill="FFFFFF" w:themeFill="background1"/>
            <w:vAlign w:val="center"/>
          </w:tcPr>
          <w:p w14:paraId="69FD9137" w14:textId="48545F58" w:rsidR="007A117E" w:rsidRPr="001D5A41" w:rsidRDefault="00017946" w:rsidP="00257C8B">
            <w:pPr>
              <w:pStyle w:val="MainBody"/>
              <w:rPr>
                <w:rFonts w:ascii="Calibri" w:hAnsi="Calibri" w:cs="Calibri"/>
                <w:b/>
                <w:bCs/>
                <w:color w:val="auto"/>
              </w:rPr>
            </w:pPr>
            <w:r w:rsidRPr="001D5A41">
              <w:rPr>
                <w:rFonts w:ascii="Calibri" w:hAnsi="Calibri" w:cs="Calibri"/>
                <w:b/>
                <w:bCs/>
                <w:color w:val="auto"/>
              </w:rPr>
              <w:t>November</w:t>
            </w:r>
            <w:r w:rsidR="00527855" w:rsidRPr="001D5A41">
              <w:rPr>
                <w:rFonts w:ascii="Calibri" w:hAnsi="Calibri" w:cs="Calibri"/>
                <w:b/>
                <w:bCs/>
                <w:color w:val="auto"/>
              </w:rPr>
              <w:t xml:space="preserve"> </w:t>
            </w:r>
            <w:r w:rsidR="0078564A" w:rsidRPr="001D5A41">
              <w:rPr>
                <w:rFonts w:ascii="Calibri" w:hAnsi="Calibri" w:cs="Calibri"/>
                <w:b/>
                <w:bCs/>
                <w:color w:val="auto"/>
              </w:rPr>
              <w:t>202</w:t>
            </w:r>
            <w:r w:rsidR="00B21541" w:rsidRPr="001D5A41">
              <w:rPr>
                <w:rFonts w:ascii="Calibri" w:hAnsi="Calibri" w:cs="Calibri"/>
                <w:b/>
                <w:bCs/>
                <w:color w:val="auto"/>
              </w:rPr>
              <w:t>5</w:t>
            </w:r>
          </w:p>
        </w:tc>
      </w:tr>
    </w:tbl>
    <w:p w14:paraId="5B6EED38" w14:textId="498F59CE" w:rsidR="00625B3E" w:rsidRDefault="00625B3E" w:rsidP="00E868D9">
      <w:pPr>
        <w:jc w:val="center"/>
        <w:rPr>
          <w:rFonts w:ascii="Neris Light" w:hAnsi="Neris Light"/>
          <w:b/>
          <w:bCs/>
          <w:color w:val="3CA7AE"/>
          <w:sz w:val="96"/>
          <w:szCs w:val="96"/>
        </w:rPr>
      </w:pPr>
    </w:p>
    <w:p w14:paraId="5108BF3F" w14:textId="77777777" w:rsidR="00C36450" w:rsidRDefault="00C36450" w:rsidP="00C36450">
      <w:pPr>
        <w:pStyle w:val="Heading1"/>
      </w:pPr>
    </w:p>
    <w:p w14:paraId="59017484" w14:textId="77777777" w:rsidR="00C36450" w:rsidRDefault="00C36450" w:rsidP="00C36450">
      <w:pPr>
        <w:pStyle w:val="Heading1"/>
      </w:pPr>
    </w:p>
    <w:p w14:paraId="06FEB89D" w14:textId="77777777" w:rsidR="006D6480" w:rsidRDefault="006D6480">
      <w:pPr>
        <w:rPr>
          <w:rFonts w:ascii="Neris Light" w:hAnsi="Neris Light"/>
          <w:b/>
          <w:bCs/>
          <w:color w:val="3CA7AE"/>
          <w:sz w:val="28"/>
          <w:szCs w:val="28"/>
        </w:rPr>
      </w:pPr>
      <w:r>
        <w:br w:type="page"/>
      </w:r>
    </w:p>
    <w:p w14:paraId="19A2E15B" w14:textId="65C09FDE" w:rsidR="009F33D9" w:rsidRDefault="009F33D9" w:rsidP="009F33D9">
      <w:pPr>
        <w:spacing w:line="276" w:lineRule="auto"/>
        <w:rPr>
          <w:rFonts w:ascii="Neris Light" w:hAnsi="Neris Light"/>
          <w:color w:val="595959" w:themeColor="text1" w:themeTint="A6"/>
          <w:sz w:val="22"/>
          <w:szCs w:val="22"/>
        </w:rPr>
      </w:pPr>
    </w:p>
    <w:p w14:paraId="5EC8EDC4" w14:textId="532F6B0E" w:rsidR="008A65D9" w:rsidRDefault="008A65D9" w:rsidP="008A65D9">
      <w:pPr>
        <w:pStyle w:val="Heading1"/>
      </w:pPr>
      <w:r>
        <w:t>Contents</w:t>
      </w:r>
    </w:p>
    <w:p w14:paraId="2A8AA2E6" w14:textId="77777777" w:rsidR="008A65D9" w:rsidRPr="008A65D9" w:rsidRDefault="008A65D9" w:rsidP="008A65D9">
      <w:pPr>
        <w:rPr>
          <w:rFonts w:ascii="Calibri" w:eastAsia="Times New Roman" w:hAnsi="Calibri" w:cs="Arial"/>
          <w:b/>
          <w:sz w:val="22"/>
          <w:szCs w:val="22"/>
          <w:lang w:eastAsia="en-GB"/>
        </w:rPr>
      </w:pPr>
    </w:p>
    <w:p w14:paraId="239811FF" w14:textId="77777777" w:rsidR="008A65D9" w:rsidRPr="008A65D9" w:rsidRDefault="008A65D9" w:rsidP="008A65D9">
      <w:pPr>
        <w:rPr>
          <w:rFonts w:ascii="Calibri" w:eastAsia="Times New Roman" w:hAnsi="Calibri" w:cs="Arial"/>
          <w:b/>
          <w:sz w:val="22"/>
          <w:szCs w:val="22"/>
          <w:lang w:eastAsia="en-GB"/>
        </w:rPr>
      </w:pPr>
    </w:p>
    <w:p w14:paraId="1BF71F35" w14:textId="16F7D3E1" w:rsidR="008A65D9" w:rsidRPr="008A65D9" w:rsidRDefault="008A65D9" w:rsidP="008A65D9">
      <w:pPr>
        <w:numPr>
          <w:ilvl w:val="0"/>
          <w:numId w:val="5"/>
        </w:num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Introduction</w:t>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3</w:t>
      </w:r>
    </w:p>
    <w:p w14:paraId="7274F73D" w14:textId="77777777" w:rsidR="008A65D9" w:rsidRPr="008A65D9" w:rsidRDefault="008A65D9" w:rsidP="008A65D9">
      <w:pPr>
        <w:rPr>
          <w:rFonts w:ascii="Calibri" w:eastAsia="Times New Roman" w:hAnsi="Calibri" w:cs="Arial"/>
          <w:b/>
          <w:sz w:val="22"/>
          <w:szCs w:val="22"/>
          <w:lang w:eastAsia="en-GB"/>
        </w:rPr>
      </w:pPr>
    </w:p>
    <w:p w14:paraId="0C3DC7D7" w14:textId="3C880D92" w:rsidR="008A65D9" w:rsidRPr="008A65D9" w:rsidRDefault="008A65D9" w:rsidP="008A65D9">
      <w:pPr>
        <w:numPr>
          <w:ilvl w:val="0"/>
          <w:numId w:val="5"/>
        </w:num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Decisions made by High Well School Governing Body</w:t>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3</w:t>
      </w:r>
    </w:p>
    <w:p w14:paraId="39282D24" w14:textId="77777777" w:rsidR="008A65D9" w:rsidRPr="008A65D9" w:rsidRDefault="008A65D9" w:rsidP="008A65D9">
      <w:pPr>
        <w:rPr>
          <w:rFonts w:ascii="Calibri" w:eastAsia="Times New Roman" w:hAnsi="Calibri" w:cs="Arial"/>
          <w:b/>
          <w:sz w:val="22"/>
          <w:szCs w:val="22"/>
          <w:lang w:eastAsia="en-GB"/>
        </w:rPr>
      </w:pPr>
    </w:p>
    <w:p w14:paraId="55589418" w14:textId="4A7D61AC" w:rsidR="008A65D9" w:rsidRPr="008A65D9" w:rsidRDefault="008A65D9" w:rsidP="008A65D9">
      <w:pPr>
        <w:numPr>
          <w:ilvl w:val="0"/>
          <w:numId w:val="5"/>
        </w:num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Details of Charges</w:t>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3</w:t>
      </w:r>
    </w:p>
    <w:p w14:paraId="42364AA4" w14:textId="77777777" w:rsidR="008A65D9" w:rsidRPr="008A65D9" w:rsidRDefault="008A65D9" w:rsidP="008A65D9">
      <w:pPr>
        <w:ind w:left="360"/>
        <w:rPr>
          <w:rFonts w:ascii="Calibri" w:eastAsia="Times New Roman" w:hAnsi="Calibri" w:cs="Arial"/>
          <w:b/>
          <w:sz w:val="22"/>
          <w:szCs w:val="22"/>
          <w:lang w:eastAsia="en-GB"/>
        </w:rPr>
      </w:pPr>
    </w:p>
    <w:p w14:paraId="37DA3AF6" w14:textId="4718CFD6" w:rsidR="008A65D9" w:rsidRPr="008A65D9" w:rsidRDefault="008A65D9" w:rsidP="008A65D9">
      <w:pPr>
        <w:numPr>
          <w:ilvl w:val="0"/>
          <w:numId w:val="5"/>
        </w:num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Remissions of Charges – Cases of hardship</w:t>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t>5</w:t>
      </w:r>
    </w:p>
    <w:p w14:paraId="4A14D0D9" w14:textId="77777777" w:rsidR="008A65D9" w:rsidRPr="008A65D9" w:rsidRDefault="008A65D9" w:rsidP="008A65D9">
      <w:pPr>
        <w:rPr>
          <w:rFonts w:ascii="Calibri" w:eastAsia="Times New Roman" w:hAnsi="Calibri" w:cs="Arial"/>
          <w:b/>
          <w:sz w:val="22"/>
          <w:szCs w:val="22"/>
          <w:lang w:eastAsia="en-GB"/>
        </w:rPr>
      </w:pPr>
    </w:p>
    <w:p w14:paraId="1B9CFABD" w14:textId="1DEA221B" w:rsidR="008A65D9" w:rsidRPr="008A65D9" w:rsidRDefault="008A65D9" w:rsidP="008A65D9">
      <w:pPr>
        <w:numPr>
          <w:ilvl w:val="0"/>
          <w:numId w:val="5"/>
        </w:num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Implementation, Monitoring and Review</w:t>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ab/>
      </w:r>
      <w:r>
        <w:rPr>
          <w:rFonts w:ascii="Calibri" w:eastAsia="Times New Roman" w:hAnsi="Calibri" w:cs="Arial"/>
          <w:b/>
          <w:sz w:val="22"/>
          <w:szCs w:val="22"/>
          <w:lang w:eastAsia="en-GB"/>
        </w:rPr>
        <w:tab/>
      </w:r>
      <w:r>
        <w:rPr>
          <w:rFonts w:ascii="Calibri" w:eastAsia="Times New Roman" w:hAnsi="Calibri" w:cs="Arial"/>
          <w:b/>
          <w:sz w:val="22"/>
          <w:szCs w:val="22"/>
          <w:lang w:eastAsia="en-GB"/>
        </w:rPr>
        <w:tab/>
      </w:r>
      <w:r w:rsidRPr="008A65D9">
        <w:rPr>
          <w:rFonts w:ascii="Calibri" w:eastAsia="Times New Roman" w:hAnsi="Calibri" w:cs="Arial"/>
          <w:b/>
          <w:sz w:val="22"/>
          <w:szCs w:val="22"/>
          <w:lang w:eastAsia="en-GB"/>
        </w:rPr>
        <w:t>5</w:t>
      </w:r>
    </w:p>
    <w:p w14:paraId="704BD955" w14:textId="77777777" w:rsidR="008A65D9" w:rsidRPr="008A65D9" w:rsidRDefault="008A65D9" w:rsidP="008A65D9">
      <w:pPr>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t xml:space="preserve"> </w:t>
      </w:r>
    </w:p>
    <w:p w14:paraId="1234ED49" w14:textId="77777777" w:rsidR="008A65D9" w:rsidRDefault="008A65D9" w:rsidP="008A65D9">
      <w:pPr>
        <w:numPr>
          <w:ilvl w:val="0"/>
          <w:numId w:val="3"/>
        </w:numPr>
        <w:ind w:left="142" w:hanging="426"/>
        <w:rPr>
          <w:rFonts w:ascii="Calibri" w:eastAsia="Times New Roman" w:hAnsi="Calibri" w:cs="Arial"/>
          <w:b/>
          <w:sz w:val="22"/>
          <w:szCs w:val="22"/>
          <w:lang w:eastAsia="en-GB"/>
        </w:rPr>
      </w:pPr>
      <w:r w:rsidRPr="008A65D9">
        <w:rPr>
          <w:rFonts w:ascii="Calibri" w:eastAsia="Times New Roman" w:hAnsi="Calibri" w:cs="Arial"/>
          <w:b/>
          <w:sz w:val="22"/>
          <w:szCs w:val="22"/>
          <w:lang w:eastAsia="en-GB"/>
        </w:rPr>
        <w:br w:type="page"/>
      </w:r>
    </w:p>
    <w:p w14:paraId="087ECDD0" w14:textId="7EBFA8A5" w:rsidR="008A65D9" w:rsidRDefault="008A65D9" w:rsidP="008A65D9">
      <w:pPr>
        <w:pStyle w:val="Heading1"/>
        <w:tabs>
          <w:tab w:val="left" w:pos="0"/>
        </w:tabs>
        <w:ind w:left="-284"/>
      </w:pPr>
      <w:r>
        <w:lastRenderedPageBreak/>
        <w:t>1.</w:t>
      </w:r>
      <w:r>
        <w:tab/>
        <w:t>Introduction</w:t>
      </w:r>
    </w:p>
    <w:p w14:paraId="5576B5C1" w14:textId="77777777" w:rsidR="008A65D9" w:rsidRP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The Education Act 1996 sets out the law on charging for school activities in schools maintained by local authorities in England.  School Governing Bodies cannot charge for education provided during school hours (including the supply of any materials books, instruments, other equipment or entry to prescribed public examinations or re-sits).</w:t>
      </w:r>
    </w:p>
    <w:p w14:paraId="46278F45" w14:textId="7E161F7C" w:rsid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Under the terms of the Education Act 1996, High Well School must have a policy on charging.</w:t>
      </w:r>
    </w:p>
    <w:p w14:paraId="31C2DFAB" w14:textId="77777777" w:rsidR="008A65D9" w:rsidRDefault="008A65D9" w:rsidP="008A65D9">
      <w:pPr>
        <w:spacing w:before="100" w:beforeAutospacing="1" w:after="100" w:afterAutospacing="1"/>
        <w:jc w:val="both"/>
        <w:rPr>
          <w:rFonts w:ascii="Calibri" w:eastAsia="Times New Roman" w:hAnsi="Calibri" w:cs="Arial"/>
          <w:sz w:val="22"/>
          <w:szCs w:val="22"/>
          <w:lang w:eastAsia="en-GB"/>
        </w:rPr>
      </w:pPr>
    </w:p>
    <w:p w14:paraId="1B4A2062" w14:textId="4923F561" w:rsidR="008A65D9" w:rsidRDefault="008A65D9" w:rsidP="008A65D9">
      <w:pPr>
        <w:pStyle w:val="Heading1"/>
        <w:tabs>
          <w:tab w:val="left" w:pos="0"/>
        </w:tabs>
        <w:ind w:left="-284"/>
      </w:pPr>
      <w:r>
        <w:t>2.</w:t>
      </w:r>
      <w:r>
        <w:tab/>
        <w:t>Decisions made by our Governing Body</w:t>
      </w:r>
    </w:p>
    <w:p w14:paraId="5E139050" w14:textId="77777777" w:rsidR="008A65D9" w:rsidRPr="008A65D9" w:rsidRDefault="008A65D9" w:rsidP="008A65D9">
      <w:pPr>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 xml:space="preserve">Our Governing Body has resolved that no charge may be made for any activity, which takes place during school hours including individual music tuition and no charge may be made for materials necessary to undertake any activity in school time such as Technology. </w:t>
      </w:r>
    </w:p>
    <w:p w14:paraId="2F9444E0" w14:textId="77777777" w:rsidR="008A65D9" w:rsidRPr="008A65D9" w:rsidRDefault="008A65D9" w:rsidP="008A65D9">
      <w:pPr>
        <w:jc w:val="both"/>
        <w:rPr>
          <w:rFonts w:ascii="Calibri" w:eastAsia="Times New Roman" w:hAnsi="Calibri" w:cs="Arial"/>
          <w:sz w:val="22"/>
          <w:szCs w:val="22"/>
          <w:lang w:eastAsia="en-GB"/>
        </w:rPr>
      </w:pPr>
    </w:p>
    <w:p w14:paraId="662309DC" w14:textId="77777777" w:rsidR="008A65D9" w:rsidRPr="008A65D9" w:rsidRDefault="008A65D9" w:rsidP="008A65D9">
      <w:pPr>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For activities outside school time, no charge will be made if they form a required part of a public examination syllabus, or are a requirement of the National Curriculum, or the agreed syllabus in Religious Education, except that the board and lodging element of a residential trip may be charged. </w:t>
      </w:r>
    </w:p>
    <w:p w14:paraId="693E1782" w14:textId="77777777" w:rsidR="008A65D9" w:rsidRPr="008A65D9" w:rsidRDefault="008A65D9" w:rsidP="008A65D9">
      <w:pPr>
        <w:jc w:val="both"/>
        <w:rPr>
          <w:rFonts w:ascii="Calibri" w:eastAsia="Times New Roman" w:hAnsi="Calibri" w:cs="Arial"/>
          <w:sz w:val="22"/>
          <w:szCs w:val="22"/>
          <w:lang w:eastAsia="en-GB"/>
        </w:rPr>
      </w:pPr>
    </w:p>
    <w:p w14:paraId="0E18C739" w14:textId="77777777" w:rsidR="008A65D9" w:rsidRPr="008A65D9" w:rsidRDefault="008A65D9" w:rsidP="008A65D9">
      <w:pPr>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Charges may be made for activities, the majority of which take place outside school hours, provided that they are not part of the required course.</w:t>
      </w:r>
    </w:p>
    <w:p w14:paraId="679F85E2" w14:textId="77777777" w:rsidR="008A65D9" w:rsidRPr="008A65D9" w:rsidRDefault="008A65D9" w:rsidP="008A65D9">
      <w:pPr>
        <w:jc w:val="center"/>
        <w:rPr>
          <w:rFonts w:ascii="Calibri" w:eastAsia="Times New Roman" w:hAnsi="Calibri" w:cs="Arial"/>
          <w:b/>
          <w:sz w:val="22"/>
          <w:szCs w:val="22"/>
          <w:lang w:eastAsia="en-GB"/>
        </w:rPr>
      </w:pPr>
    </w:p>
    <w:p w14:paraId="6DE0276F" w14:textId="03896AFA" w:rsidR="008A65D9" w:rsidRDefault="008A65D9" w:rsidP="008A65D9">
      <w:pPr>
        <w:rPr>
          <w:rFonts w:ascii="Calibri" w:eastAsia="Times New Roman" w:hAnsi="Calibri" w:cs="Arial"/>
          <w:b/>
          <w:sz w:val="22"/>
          <w:szCs w:val="22"/>
          <w:lang w:eastAsia="en-GB"/>
        </w:rPr>
      </w:pPr>
    </w:p>
    <w:p w14:paraId="49D9990A" w14:textId="47F99FB6" w:rsidR="008A65D9" w:rsidRDefault="008A65D9" w:rsidP="008A65D9">
      <w:pPr>
        <w:pStyle w:val="Heading1"/>
        <w:tabs>
          <w:tab w:val="left" w:pos="0"/>
        </w:tabs>
        <w:ind w:left="-284"/>
        <w:rPr>
          <w:rFonts w:ascii="Calibri" w:eastAsia="Times New Roman" w:hAnsi="Calibri" w:cs="Arial"/>
          <w:b w:val="0"/>
          <w:sz w:val="22"/>
          <w:szCs w:val="22"/>
          <w:lang w:eastAsia="en-GB"/>
        </w:rPr>
      </w:pPr>
      <w:r>
        <w:t>3.</w:t>
      </w:r>
      <w:r>
        <w:tab/>
        <w:t>Details of Charges</w:t>
      </w:r>
    </w:p>
    <w:p w14:paraId="6B8312B4" w14:textId="77777777" w:rsidR="008A65D9" w:rsidRPr="008A65D9" w:rsidRDefault="008A65D9" w:rsidP="008A65D9">
      <w:pPr>
        <w:rPr>
          <w:rFonts w:ascii="Calibri" w:eastAsia="Times New Roman" w:hAnsi="Calibri" w:cs="Arial"/>
          <w:b/>
          <w:sz w:val="22"/>
          <w:szCs w:val="22"/>
          <w:u w:val="single"/>
          <w:lang w:eastAsia="en-GB"/>
        </w:rPr>
      </w:pPr>
      <w:r w:rsidRPr="008A65D9">
        <w:rPr>
          <w:rFonts w:ascii="Calibri" w:eastAsia="Times New Roman" w:hAnsi="Calibri" w:cs="Arial"/>
          <w:b/>
          <w:sz w:val="22"/>
          <w:szCs w:val="22"/>
          <w:u w:val="single"/>
          <w:lang w:eastAsia="en-GB"/>
        </w:rPr>
        <w:t>Provision of Education</w:t>
      </w:r>
    </w:p>
    <w:p w14:paraId="1E716387" w14:textId="77777777" w:rsidR="008A65D9" w:rsidRPr="008A65D9" w:rsidRDefault="008A65D9" w:rsidP="008A65D9">
      <w:pPr>
        <w:rPr>
          <w:rFonts w:ascii="Calibri" w:eastAsia="Times New Roman" w:hAnsi="Calibri" w:cs="Arial"/>
          <w:b/>
          <w:sz w:val="22"/>
          <w:szCs w:val="22"/>
          <w:u w:val="single"/>
          <w:lang w:eastAsia="en-GB"/>
        </w:rPr>
      </w:pPr>
    </w:p>
    <w:p w14:paraId="7F03E750" w14:textId="77777777" w:rsidR="008A65D9" w:rsidRPr="008A65D9" w:rsidRDefault="008A65D9" w:rsidP="008A65D9">
      <w:pPr>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No charge shall be made in relation to the education of High Well pupils which takes place during school hours, including individual music tuition or materials for activities within school time (</w:t>
      </w:r>
      <w:proofErr w:type="spellStart"/>
      <w:r w:rsidRPr="008A65D9">
        <w:rPr>
          <w:rFonts w:ascii="Calibri" w:eastAsia="Times New Roman" w:hAnsi="Calibri" w:cs="Arial"/>
          <w:sz w:val="22"/>
          <w:szCs w:val="22"/>
          <w:lang w:eastAsia="en-GB"/>
        </w:rPr>
        <w:t>ie</w:t>
      </w:r>
      <w:proofErr w:type="spellEnd"/>
      <w:r w:rsidRPr="008A65D9">
        <w:rPr>
          <w:rFonts w:ascii="Calibri" w:eastAsia="Times New Roman" w:hAnsi="Calibri" w:cs="Arial"/>
          <w:sz w:val="22"/>
          <w:szCs w:val="22"/>
          <w:lang w:eastAsia="en-GB"/>
        </w:rPr>
        <w:t xml:space="preserve"> Technology, Art).</w:t>
      </w:r>
    </w:p>
    <w:p w14:paraId="53CDEDE2" w14:textId="77777777" w:rsidR="008A65D9" w:rsidRPr="008A65D9" w:rsidRDefault="008A65D9" w:rsidP="008A65D9">
      <w:pPr>
        <w:rPr>
          <w:rFonts w:ascii="Calibri" w:eastAsia="Times New Roman" w:hAnsi="Calibri" w:cs="Arial"/>
          <w:b/>
          <w:sz w:val="22"/>
          <w:szCs w:val="22"/>
          <w:u w:val="single"/>
          <w:lang w:eastAsia="en-GB"/>
        </w:rPr>
      </w:pPr>
    </w:p>
    <w:p w14:paraId="1E2BE0D4" w14:textId="77777777" w:rsidR="008A65D9" w:rsidRPr="008A65D9" w:rsidRDefault="008A65D9" w:rsidP="008A65D9">
      <w:pPr>
        <w:rPr>
          <w:rFonts w:ascii="Calibri" w:eastAsia="Times New Roman" w:hAnsi="Calibri" w:cs="Arial"/>
          <w:b/>
          <w:sz w:val="22"/>
          <w:szCs w:val="22"/>
          <w:u w:val="single"/>
          <w:lang w:eastAsia="en-GB"/>
        </w:rPr>
      </w:pPr>
    </w:p>
    <w:p w14:paraId="22DAC849" w14:textId="77777777" w:rsidR="008A65D9" w:rsidRPr="008A65D9" w:rsidRDefault="008A65D9" w:rsidP="008A65D9">
      <w:pPr>
        <w:rPr>
          <w:rFonts w:ascii="Calibri" w:eastAsia="Times New Roman" w:hAnsi="Calibri" w:cs="Arial"/>
          <w:b/>
          <w:sz w:val="22"/>
          <w:szCs w:val="22"/>
          <w:u w:val="single"/>
          <w:lang w:eastAsia="en-GB"/>
        </w:rPr>
      </w:pPr>
      <w:r w:rsidRPr="008A65D9">
        <w:rPr>
          <w:rFonts w:ascii="Calibri" w:eastAsia="Times New Roman" w:hAnsi="Calibri" w:cs="Arial"/>
          <w:b/>
          <w:sz w:val="22"/>
          <w:szCs w:val="22"/>
          <w:u w:val="single"/>
          <w:lang w:eastAsia="en-GB"/>
        </w:rPr>
        <w:t>Residential Trips</w:t>
      </w:r>
    </w:p>
    <w:p w14:paraId="3E426087" w14:textId="77777777" w:rsidR="008A65D9" w:rsidRPr="008A65D9" w:rsidRDefault="008A65D9" w:rsidP="008A65D9">
      <w:pPr>
        <w:rPr>
          <w:rFonts w:ascii="Calibri" w:eastAsia="Times New Roman" w:hAnsi="Calibri" w:cs="Arial"/>
          <w:b/>
          <w:sz w:val="22"/>
          <w:szCs w:val="22"/>
          <w:u w:val="single"/>
          <w:lang w:eastAsia="en-GB"/>
        </w:rPr>
      </w:pPr>
    </w:p>
    <w:p w14:paraId="137DE3E0" w14:textId="77777777" w:rsidR="008A65D9" w:rsidRPr="008A65D9" w:rsidRDefault="008A65D9" w:rsidP="008A65D9">
      <w:pPr>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The Governors reserve the right to raise to pass charges to parents / carers for some residential trips but this will not exceed the actual cost of the trip.  If a student is unable to go on a trip after payment has been made (unless a doctor’s note has been produced due to ill health) then no refund will be made.</w:t>
      </w:r>
    </w:p>
    <w:p w14:paraId="5F9BD121" w14:textId="77777777" w:rsidR="008A65D9" w:rsidRPr="008A65D9" w:rsidRDefault="008A65D9" w:rsidP="008A65D9">
      <w:pPr>
        <w:rPr>
          <w:rFonts w:ascii="Calibri" w:eastAsia="Times New Roman" w:hAnsi="Calibri" w:cs="Arial"/>
          <w:sz w:val="22"/>
          <w:szCs w:val="22"/>
          <w:lang w:eastAsia="en-GB"/>
        </w:rPr>
      </w:pPr>
    </w:p>
    <w:p w14:paraId="77B2C723" w14:textId="77777777" w:rsidR="008A65D9" w:rsidRPr="008A65D9" w:rsidRDefault="008A65D9" w:rsidP="008A65D9">
      <w:pPr>
        <w:rPr>
          <w:rFonts w:ascii="Calibri" w:eastAsia="Times New Roman" w:hAnsi="Calibri" w:cs="Arial"/>
          <w:sz w:val="22"/>
          <w:szCs w:val="22"/>
          <w:lang w:eastAsia="en-GB"/>
        </w:rPr>
      </w:pPr>
      <w:r w:rsidRPr="008A65D9">
        <w:rPr>
          <w:rFonts w:ascii="Calibri" w:eastAsia="Times New Roman" w:hAnsi="Calibri" w:cs="Arial"/>
          <w:sz w:val="22"/>
          <w:szCs w:val="22"/>
          <w:lang w:eastAsia="en-GB"/>
        </w:rPr>
        <w:t>Parents should be made aware that the activity may be cancelled if insufficient contributions are received.</w:t>
      </w:r>
    </w:p>
    <w:p w14:paraId="208E75FD" w14:textId="77777777" w:rsidR="008A65D9" w:rsidRPr="008A65D9" w:rsidRDefault="008A65D9" w:rsidP="008A65D9">
      <w:pPr>
        <w:rPr>
          <w:rFonts w:ascii="Calibri" w:eastAsia="Times New Roman" w:hAnsi="Calibri" w:cs="Arial"/>
          <w:sz w:val="22"/>
          <w:szCs w:val="22"/>
          <w:lang w:eastAsia="en-GB"/>
        </w:rPr>
      </w:pPr>
    </w:p>
    <w:p w14:paraId="177C154C" w14:textId="77777777" w:rsidR="008A65D9" w:rsidRPr="008A65D9" w:rsidRDefault="008A65D9" w:rsidP="008A65D9">
      <w:pPr>
        <w:rPr>
          <w:rFonts w:ascii="Calibri" w:eastAsia="Times New Roman" w:hAnsi="Calibri" w:cs="Arial"/>
          <w:b/>
          <w:sz w:val="22"/>
          <w:szCs w:val="22"/>
          <w:u w:val="single"/>
          <w:lang w:eastAsia="en-GB"/>
        </w:rPr>
      </w:pPr>
    </w:p>
    <w:p w14:paraId="0E49AFFF" w14:textId="77777777" w:rsidR="008A65D9" w:rsidRPr="008A65D9" w:rsidRDefault="008A65D9" w:rsidP="008A65D9">
      <w:pPr>
        <w:rPr>
          <w:rFonts w:ascii="Calibri" w:eastAsia="Times New Roman" w:hAnsi="Calibri" w:cs="Arial"/>
          <w:b/>
          <w:sz w:val="22"/>
          <w:szCs w:val="22"/>
          <w:u w:val="single"/>
          <w:lang w:eastAsia="en-GB"/>
        </w:rPr>
      </w:pPr>
      <w:r w:rsidRPr="008A65D9">
        <w:rPr>
          <w:rFonts w:ascii="Calibri" w:eastAsia="Times New Roman" w:hAnsi="Calibri" w:cs="Arial"/>
          <w:b/>
          <w:sz w:val="22"/>
          <w:szCs w:val="22"/>
          <w:u w:val="single"/>
          <w:lang w:eastAsia="en-GB"/>
        </w:rPr>
        <w:t>Damage to property</w:t>
      </w:r>
    </w:p>
    <w:p w14:paraId="3BF183A2" w14:textId="77777777" w:rsidR="008A65D9" w:rsidRPr="008A65D9" w:rsidRDefault="008A65D9" w:rsidP="008A65D9">
      <w:pPr>
        <w:rPr>
          <w:rFonts w:ascii="Calibri" w:eastAsia="Times New Roman" w:hAnsi="Calibri" w:cs="Calibri"/>
          <w:sz w:val="22"/>
          <w:szCs w:val="22"/>
          <w:lang w:eastAsia="en-GB"/>
        </w:rPr>
      </w:pPr>
    </w:p>
    <w:p w14:paraId="3B53A7F5" w14:textId="77777777" w:rsidR="008A65D9" w:rsidRPr="008A65D9" w:rsidRDefault="008A65D9" w:rsidP="008A65D9">
      <w:pPr>
        <w:jc w:val="both"/>
        <w:rPr>
          <w:rFonts w:ascii="Calibri" w:eastAsia="Times New Roman" w:hAnsi="Calibri" w:cs="Calibri"/>
          <w:sz w:val="22"/>
          <w:szCs w:val="22"/>
          <w:lang w:eastAsia="en-GB"/>
        </w:rPr>
      </w:pPr>
      <w:r w:rsidRPr="008A65D9">
        <w:rPr>
          <w:rFonts w:ascii="Calibri" w:eastAsia="Times New Roman" w:hAnsi="Calibri" w:cs="Calibri"/>
          <w:sz w:val="22"/>
          <w:szCs w:val="22"/>
          <w:lang w:eastAsia="en-GB"/>
        </w:rPr>
        <w:lastRenderedPageBreak/>
        <w:t>The Governors reserve the right to raise charges for damage to books, furniture, equipment or the school building e.g. doors, caused by carelessness or inappropriate behaviour.</w:t>
      </w:r>
    </w:p>
    <w:p w14:paraId="135F2E22" w14:textId="77777777" w:rsidR="008A65D9" w:rsidRPr="008A65D9" w:rsidRDefault="008A65D9" w:rsidP="008A65D9">
      <w:pPr>
        <w:rPr>
          <w:rFonts w:ascii="Times New Roman" w:eastAsia="Times New Roman" w:hAnsi="Times New Roman" w:cs="Times New Roman"/>
          <w:lang w:eastAsia="en-GB"/>
        </w:rPr>
      </w:pPr>
    </w:p>
    <w:p w14:paraId="457996CF" w14:textId="77777777" w:rsidR="008A65D9" w:rsidRPr="008A65D9" w:rsidRDefault="008A65D9" w:rsidP="008A65D9">
      <w:pPr>
        <w:rPr>
          <w:rFonts w:ascii="Times New Roman" w:eastAsia="Times New Roman" w:hAnsi="Times New Roman" w:cs="Times New Roman"/>
          <w:lang w:eastAsia="en-GB"/>
        </w:rPr>
      </w:pPr>
    </w:p>
    <w:p w14:paraId="649B4F79" w14:textId="77777777" w:rsidR="008A65D9" w:rsidRPr="008A65D9" w:rsidRDefault="008A65D9" w:rsidP="008A65D9">
      <w:pPr>
        <w:rPr>
          <w:rFonts w:ascii="Calibri" w:eastAsia="Times New Roman" w:hAnsi="Calibri" w:cs="Arial"/>
          <w:b/>
          <w:sz w:val="22"/>
          <w:szCs w:val="22"/>
          <w:u w:val="single"/>
          <w:lang w:eastAsia="en-GB"/>
        </w:rPr>
      </w:pPr>
      <w:r w:rsidRPr="008A65D9">
        <w:rPr>
          <w:rFonts w:ascii="Calibri" w:eastAsia="Times New Roman" w:hAnsi="Calibri" w:cs="Arial"/>
          <w:b/>
          <w:sz w:val="22"/>
          <w:szCs w:val="22"/>
          <w:u w:val="single"/>
          <w:lang w:eastAsia="en-GB"/>
        </w:rPr>
        <w:t>Voluntary donations</w:t>
      </w:r>
    </w:p>
    <w:p w14:paraId="3544D1B7" w14:textId="77777777" w:rsidR="008A65D9" w:rsidRP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The Governors will also seek from parents from time to time voluntary donations for activities, which, in the view of the Governors, it would be prohibitive to finance from within school funds. </w:t>
      </w:r>
    </w:p>
    <w:p w14:paraId="2C2E1D84" w14:textId="77777777" w:rsidR="008A65D9" w:rsidRPr="008A65D9" w:rsidRDefault="008A65D9" w:rsidP="008A65D9">
      <w:pPr>
        <w:jc w:val="both"/>
        <w:rPr>
          <w:rFonts w:ascii="Calibri" w:eastAsia="Times New Roman" w:hAnsi="Calibri" w:cs="Calibri"/>
          <w:sz w:val="22"/>
          <w:szCs w:val="22"/>
          <w:lang w:eastAsia="en-GB"/>
        </w:rPr>
      </w:pPr>
      <w:r w:rsidRPr="008A65D9">
        <w:rPr>
          <w:rFonts w:ascii="Calibri" w:eastAsia="Times New Roman" w:hAnsi="Calibri" w:cs="Calibri"/>
          <w:sz w:val="22"/>
          <w:szCs w:val="22"/>
          <w:lang w:eastAsia="en-GB"/>
        </w:rPr>
        <w:t>Pupil participation in any such activity that takes place will not be dependent upon making a donation, but the Governors reserve the right to withdraw any activity where donations have been sought if, in the opinion of the Governors, the amount donated is insufficient to make the activity financially viable.</w:t>
      </w:r>
    </w:p>
    <w:p w14:paraId="002F2819" w14:textId="77777777" w:rsidR="008A65D9" w:rsidRPr="008A65D9" w:rsidRDefault="008A65D9" w:rsidP="008A65D9">
      <w:pPr>
        <w:rPr>
          <w:rFonts w:ascii="Times New Roman" w:eastAsia="Times New Roman" w:hAnsi="Times New Roman" w:cs="Times New Roman"/>
          <w:lang w:eastAsia="en-GB"/>
        </w:rPr>
      </w:pPr>
    </w:p>
    <w:p w14:paraId="2C220413" w14:textId="77777777" w:rsidR="008A65D9" w:rsidRPr="008A65D9" w:rsidRDefault="008A65D9" w:rsidP="008A65D9">
      <w:pPr>
        <w:spacing w:before="100" w:beforeAutospacing="1" w:after="100" w:afterAutospacing="1"/>
        <w:jc w:val="both"/>
        <w:rPr>
          <w:rFonts w:ascii="Calibri" w:eastAsia="Times New Roman" w:hAnsi="Calibri" w:cs="Arial"/>
          <w:b/>
          <w:sz w:val="22"/>
          <w:szCs w:val="22"/>
          <w:u w:val="single"/>
          <w:lang w:eastAsia="en-GB"/>
        </w:rPr>
      </w:pPr>
      <w:r w:rsidRPr="008A65D9">
        <w:rPr>
          <w:rFonts w:ascii="Calibri" w:eastAsia="Times New Roman" w:hAnsi="Calibri" w:cs="Arial"/>
          <w:b/>
          <w:sz w:val="22"/>
          <w:szCs w:val="22"/>
          <w:u w:val="single"/>
          <w:lang w:eastAsia="en-GB"/>
        </w:rPr>
        <w:t>Lettings of High Well School Facilities</w:t>
      </w:r>
    </w:p>
    <w:p w14:paraId="30032133" w14:textId="77777777" w:rsidR="008A65D9" w:rsidRPr="008A65D9" w:rsidRDefault="008A65D9" w:rsidP="008A65D9">
      <w:pPr>
        <w:jc w:val="both"/>
        <w:rPr>
          <w:rFonts w:ascii="Calibri" w:eastAsia="Times New Roman" w:hAnsi="Calibri" w:cs="Calibri"/>
          <w:sz w:val="22"/>
          <w:szCs w:val="22"/>
          <w:lang w:eastAsia="en-GB"/>
        </w:rPr>
      </w:pPr>
      <w:r w:rsidRPr="008A65D9">
        <w:rPr>
          <w:rFonts w:ascii="Calibri" w:eastAsia="Times New Roman" w:hAnsi="Calibri" w:cs="Calibri"/>
          <w:sz w:val="22"/>
          <w:szCs w:val="22"/>
          <w:lang w:eastAsia="en-GB"/>
        </w:rPr>
        <w:t xml:space="preserve">Charges will be made for the use of High Well School’s facilities by private individuals or external organisations.  Facilities will only be let where they are not needed for the purpose of education during that time.  Hirers will need to demonstrate that they have adequate insurance or provision for compensating High Well School for any damage they cause.  </w:t>
      </w:r>
    </w:p>
    <w:p w14:paraId="031D70A8" w14:textId="77777777" w:rsidR="008A65D9" w:rsidRPr="008A65D9" w:rsidRDefault="008A65D9" w:rsidP="008A65D9">
      <w:pPr>
        <w:jc w:val="both"/>
        <w:rPr>
          <w:rFonts w:ascii="Calibri" w:eastAsia="Times New Roman" w:hAnsi="Calibri" w:cs="Calibri"/>
          <w:sz w:val="22"/>
          <w:szCs w:val="22"/>
          <w:lang w:eastAsia="en-GB"/>
        </w:rPr>
      </w:pPr>
    </w:p>
    <w:p w14:paraId="1B778951" w14:textId="77777777" w:rsidR="008A65D9" w:rsidRPr="008A65D9" w:rsidRDefault="008A65D9" w:rsidP="008A65D9">
      <w:pPr>
        <w:jc w:val="both"/>
        <w:rPr>
          <w:rFonts w:ascii="Times New Roman" w:eastAsia="Times New Roman" w:hAnsi="Times New Roman" w:cs="Times New Roman"/>
          <w:lang w:eastAsia="en-GB"/>
        </w:rPr>
      </w:pPr>
      <w:r w:rsidRPr="008A65D9">
        <w:rPr>
          <w:rFonts w:ascii="Calibri" w:eastAsia="Times New Roman" w:hAnsi="Calibri" w:cs="Calibri"/>
          <w:sz w:val="22"/>
          <w:szCs w:val="22"/>
          <w:lang w:eastAsia="en-GB"/>
        </w:rPr>
        <w:t>Further details can be found in High Well School’s Purchasing Policy which is situated in Appendix 1 of High Well School’s Financial Management Policy</w:t>
      </w:r>
      <w:r w:rsidRPr="008A65D9">
        <w:rPr>
          <w:rFonts w:ascii="Times New Roman" w:eastAsia="Times New Roman" w:hAnsi="Times New Roman" w:cs="Times New Roman"/>
          <w:lang w:eastAsia="en-GB"/>
        </w:rPr>
        <w:t>.</w:t>
      </w:r>
    </w:p>
    <w:p w14:paraId="53DBA951" w14:textId="77777777" w:rsidR="008A65D9" w:rsidRPr="008A65D9" w:rsidRDefault="008A65D9" w:rsidP="008A65D9">
      <w:pPr>
        <w:jc w:val="both"/>
        <w:rPr>
          <w:rFonts w:ascii="Times New Roman" w:eastAsia="Times New Roman" w:hAnsi="Times New Roman" w:cs="Times New Roman"/>
          <w:lang w:eastAsia="en-GB"/>
        </w:rPr>
      </w:pPr>
    </w:p>
    <w:p w14:paraId="2CFB5E72" w14:textId="61D0A03C" w:rsidR="008A65D9" w:rsidRDefault="008A65D9">
      <w:pPr>
        <w:rPr>
          <w:rFonts w:ascii="Calibri" w:eastAsia="Times New Roman" w:hAnsi="Calibri" w:cs="Calibri"/>
          <w:b/>
          <w:sz w:val="22"/>
          <w:szCs w:val="22"/>
          <w:lang w:eastAsia="en-GB"/>
        </w:rPr>
      </w:pPr>
      <w:r>
        <w:rPr>
          <w:rFonts w:ascii="Calibri" w:eastAsia="Times New Roman" w:hAnsi="Calibri" w:cs="Calibri"/>
          <w:b/>
          <w:sz w:val="22"/>
          <w:szCs w:val="22"/>
          <w:lang w:eastAsia="en-GB"/>
        </w:rPr>
        <w:br w:type="page"/>
      </w:r>
    </w:p>
    <w:p w14:paraId="66EE2BB7" w14:textId="35D79F99" w:rsidR="008A65D9" w:rsidRDefault="008A65D9" w:rsidP="008A65D9">
      <w:pPr>
        <w:pStyle w:val="Heading1"/>
        <w:tabs>
          <w:tab w:val="left" w:pos="0"/>
        </w:tabs>
        <w:ind w:left="-284"/>
      </w:pPr>
      <w:r>
        <w:lastRenderedPageBreak/>
        <w:t>4.</w:t>
      </w:r>
      <w:r>
        <w:tab/>
        <w:t>Remissions of Charges - Cases of hardship</w:t>
      </w:r>
    </w:p>
    <w:p w14:paraId="6B75CFD7" w14:textId="77777777" w:rsidR="008A65D9" w:rsidRP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High Well School believes that all pupils should have the opportunity to gain fully from the experiences that the School has to offer.  The Governors therefore will remit any charges for pupils where genuine cases of hardship are established to the Governors satisfaction, such as those in receipt of Income Support, Universal Credit, or Employment and Support Allowance. </w:t>
      </w:r>
    </w:p>
    <w:p w14:paraId="21B34C97" w14:textId="77777777" w:rsidR="008A65D9" w:rsidRP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The cost of such remissions will be found by the Governors from within the school funds and will not be added to the costs of other pupils.</w:t>
      </w:r>
    </w:p>
    <w:p w14:paraId="768DFC77" w14:textId="2C1271FF" w:rsidR="008A65D9" w:rsidRDefault="008A65D9" w:rsidP="008A65D9">
      <w:pPr>
        <w:rPr>
          <w:rFonts w:ascii="Times New Roman" w:eastAsia="Times New Roman" w:hAnsi="Times New Roman" w:cs="Times New Roman"/>
          <w:lang w:eastAsia="en-GB"/>
        </w:rPr>
      </w:pPr>
    </w:p>
    <w:p w14:paraId="43D68294" w14:textId="63F9B809" w:rsidR="008A65D9" w:rsidRDefault="008A65D9" w:rsidP="008A65D9">
      <w:pPr>
        <w:pStyle w:val="Heading1"/>
        <w:tabs>
          <w:tab w:val="left" w:pos="0"/>
        </w:tabs>
        <w:ind w:left="-284"/>
      </w:pPr>
      <w:r>
        <w:t>5.</w:t>
      </w:r>
      <w:r>
        <w:tab/>
        <w:t>Implementation, Monitoring and Review</w:t>
      </w:r>
    </w:p>
    <w:p w14:paraId="76AF02E6" w14:textId="77777777" w:rsidR="008A65D9" w:rsidRPr="008A65D9" w:rsidRDefault="008A65D9" w:rsidP="008A65D9">
      <w:pPr>
        <w:spacing w:before="100" w:beforeAutospacing="1" w:after="100" w:afterAutospacing="1"/>
        <w:jc w:val="both"/>
        <w:rPr>
          <w:rFonts w:ascii="Calibri" w:eastAsia="Times New Roman" w:hAnsi="Calibri" w:cs="Arial"/>
          <w:sz w:val="22"/>
          <w:szCs w:val="22"/>
          <w:lang w:eastAsia="en-GB"/>
        </w:rPr>
      </w:pPr>
      <w:r w:rsidRPr="008A65D9">
        <w:rPr>
          <w:rFonts w:ascii="Calibri" w:eastAsia="Times New Roman" w:hAnsi="Calibri" w:cs="Arial"/>
          <w:sz w:val="22"/>
          <w:szCs w:val="22"/>
          <w:lang w:eastAsia="en-GB"/>
        </w:rPr>
        <w:t>Day to day implementation and monitoring of this policy will be the responsibility of the Headteacher who parents should contact with any matters that arise.</w:t>
      </w:r>
    </w:p>
    <w:p w14:paraId="330F161C" w14:textId="77777777" w:rsidR="008A65D9" w:rsidRPr="008A65D9" w:rsidRDefault="008A65D9" w:rsidP="008A65D9">
      <w:pPr>
        <w:spacing w:before="100" w:beforeAutospacing="1" w:after="100" w:afterAutospacing="1"/>
        <w:jc w:val="both"/>
        <w:rPr>
          <w:rFonts w:ascii="Calibri" w:eastAsia="Times New Roman" w:hAnsi="Calibri" w:cs="Times New Roman"/>
          <w:sz w:val="22"/>
          <w:szCs w:val="22"/>
          <w:lang w:eastAsia="en-GB"/>
        </w:rPr>
      </w:pPr>
      <w:r w:rsidRPr="008A65D9">
        <w:rPr>
          <w:rFonts w:ascii="Calibri" w:eastAsia="Times New Roman" w:hAnsi="Calibri" w:cs="Arial"/>
          <w:sz w:val="22"/>
          <w:szCs w:val="22"/>
          <w:lang w:eastAsia="en-GB"/>
        </w:rPr>
        <w:t>The Policy will be reviewed on an annual basis.</w:t>
      </w:r>
    </w:p>
    <w:p w14:paraId="29C206E1" w14:textId="138EA98D" w:rsidR="009F33D9" w:rsidRDefault="009F33D9" w:rsidP="009F33D9">
      <w:pPr>
        <w:spacing w:line="276" w:lineRule="auto"/>
        <w:rPr>
          <w:rFonts w:ascii="Neris Light" w:hAnsi="Neris Light"/>
          <w:color w:val="595959" w:themeColor="text1" w:themeTint="A6"/>
          <w:sz w:val="22"/>
          <w:szCs w:val="22"/>
        </w:rPr>
      </w:pPr>
    </w:p>
    <w:p w14:paraId="630B4875" w14:textId="77777777" w:rsidR="009F33D9" w:rsidRPr="009F33D9" w:rsidRDefault="009F33D9" w:rsidP="009F33D9">
      <w:pPr>
        <w:spacing w:line="276" w:lineRule="auto"/>
        <w:ind w:right="-46"/>
        <w:rPr>
          <w:rFonts w:ascii="Neris Light" w:hAnsi="Neris Light"/>
          <w:color w:val="595959" w:themeColor="text1" w:themeTint="A6"/>
          <w:sz w:val="22"/>
          <w:szCs w:val="22"/>
        </w:rPr>
      </w:pPr>
    </w:p>
    <w:sectPr w:rsidR="009F33D9" w:rsidRPr="009F33D9" w:rsidSect="00D14E0C">
      <w:headerReference w:type="default" r:id="rId13"/>
      <w:footerReference w:type="even" r:id="rId14"/>
      <w:footerReference w:type="default" r:id="rId15"/>
      <w:pgSz w:w="11906" w:h="16838"/>
      <w:pgMar w:top="1361" w:right="1247" w:bottom="1361" w:left="1247"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9E69" w14:textId="77777777" w:rsidR="00FD7015" w:rsidRDefault="00FD7015" w:rsidP="00E868D9">
      <w:r>
        <w:separator/>
      </w:r>
    </w:p>
    <w:p w14:paraId="19540CC5" w14:textId="77777777" w:rsidR="00FD7015" w:rsidRDefault="00FD7015"/>
    <w:p w14:paraId="487AA740" w14:textId="77777777" w:rsidR="00FD7015" w:rsidRDefault="00FD7015" w:rsidP="00751D50"/>
  </w:endnote>
  <w:endnote w:type="continuationSeparator" w:id="0">
    <w:p w14:paraId="552834F1" w14:textId="77777777" w:rsidR="00FD7015" w:rsidRDefault="00FD7015" w:rsidP="00E868D9">
      <w:r>
        <w:continuationSeparator/>
      </w:r>
    </w:p>
    <w:p w14:paraId="0283DE17" w14:textId="77777777" w:rsidR="00FD7015" w:rsidRDefault="00FD7015"/>
    <w:p w14:paraId="17EBD859" w14:textId="77777777" w:rsidR="00FD7015" w:rsidRDefault="00FD7015" w:rsidP="0075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ris Light">
    <w:altName w:val="Calibri"/>
    <w:panose1 w:val="000004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142390"/>
      <w:docPartObj>
        <w:docPartGallery w:val="Page Numbers (Bottom of Page)"/>
        <w:docPartUnique/>
      </w:docPartObj>
    </w:sdtPr>
    <w:sdtEndPr>
      <w:rPr>
        <w:rStyle w:val="PageNumber"/>
      </w:rPr>
    </w:sdtEndPr>
    <w:sdtContent>
      <w:p w14:paraId="39CC6C1B" w14:textId="4FC0BA4D" w:rsidR="009070AC" w:rsidRDefault="009070AC" w:rsidP="003101F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90858827"/>
      <w:docPartObj>
        <w:docPartGallery w:val="Page Numbers (Bottom of Page)"/>
        <w:docPartUnique/>
      </w:docPartObj>
    </w:sdtPr>
    <w:sdtEndPr>
      <w:rPr>
        <w:rStyle w:val="PageNumber"/>
      </w:rPr>
    </w:sdtEndPr>
    <w:sdtContent>
      <w:p w14:paraId="2619F34F" w14:textId="78FE08F9" w:rsidR="009F33D9" w:rsidRDefault="009F33D9" w:rsidP="009070AC">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017280" w14:textId="77777777" w:rsidR="009F33D9" w:rsidRDefault="009F33D9" w:rsidP="009F33D9">
    <w:pPr>
      <w:pStyle w:val="Footer"/>
      <w:ind w:right="360"/>
    </w:pPr>
  </w:p>
  <w:p w14:paraId="66D3F115" w14:textId="77777777" w:rsidR="00406B2B" w:rsidRDefault="00406B2B"/>
  <w:p w14:paraId="0DDF3698" w14:textId="77777777" w:rsidR="00406B2B" w:rsidRDefault="00406B2B" w:rsidP="00751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28116"/>
      <w:docPartObj>
        <w:docPartGallery w:val="Page Numbers (Bottom of Page)"/>
        <w:docPartUnique/>
      </w:docPartObj>
    </w:sdtPr>
    <w:sdtEndPr>
      <w:rPr>
        <w:noProof/>
      </w:rPr>
    </w:sdtEndPr>
    <w:sdtContent>
      <w:p w14:paraId="07FF6910" w14:textId="5F43CCEE" w:rsidR="008A65D9" w:rsidRDefault="008A6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4E084" w14:textId="77777777" w:rsidR="009070AC" w:rsidRDefault="0090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94D8" w14:textId="77777777" w:rsidR="00FD7015" w:rsidRDefault="00FD7015" w:rsidP="00E868D9">
      <w:r>
        <w:separator/>
      </w:r>
    </w:p>
    <w:p w14:paraId="5207D7BE" w14:textId="77777777" w:rsidR="00FD7015" w:rsidRDefault="00FD7015"/>
    <w:p w14:paraId="11EC737C" w14:textId="77777777" w:rsidR="00FD7015" w:rsidRDefault="00FD7015" w:rsidP="00751D50"/>
  </w:footnote>
  <w:footnote w:type="continuationSeparator" w:id="0">
    <w:p w14:paraId="0D16FE32" w14:textId="77777777" w:rsidR="00FD7015" w:rsidRDefault="00FD7015" w:rsidP="00E868D9">
      <w:r>
        <w:continuationSeparator/>
      </w:r>
    </w:p>
    <w:p w14:paraId="46228820" w14:textId="77777777" w:rsidR="00FD7015" w:rsidRDefault="00FD7015"/>
    <w:p w14:paraId="35CD03CD" w14:textId="77777777" w:rsidR="00FD7015" w:rsidRDefault="00FD7015" w:rsidP="00751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6245" w14:textId="4633DF0B" w:rsidR="00625B3E" w:rsidRPr="00625B3E" w:rsidRDefault="00625B3E" w:rsidP="00625B3E">
    <w:pPr>
      <w:pStyle w:val="Header"/>
      <w:ind w:left="-851"/>
      <w:rPr>
        <w:rFonts w:ascii="Neris Light" w:hAnsi="Neris Light"/>
      </w:rPr>
    </w:pPr>
    <w:r w:rsidRPr="00625B3E">
      <w:rPr>
        <w:rFonts w:ascii="Neris Light" w:hAnsi="Neris Light"/>
        <w:noProof/>
        <w:color w:val="FFFFFF" w:themeColor="background1"/>
      </w:rPr>
      <mc:AlternateContent>
        <mc:Choice Requires="wps">
          <w:drawing>
            <wp:anchor distT="0" distB="0" distL="114300" distR="114300" simplePos="0" relativeHeight="251659264" behindDoc="1" locked="0" layoutInCell="1" allowOverlap="1" wp14:anchorId="2DE826A5" wp14:editId="66CA8982">
              <wp:simplePos x="0" y="0"/>
              <wp:positionH relativeFrom="column">
                <wp:posOffset>-790575</wp:posOffset>
              </wp:positionH>
              <wp:positionV relativeFrom="paragraph">
                <wp:posOffset>-469900</wp:posOffset>
              </wp:positionV>
              <wp:extent cx="7565390" cy="770561"/>
              <wp:effectExtent l="0" t="0" r="3810" b="4445"/>
              <wp:wrapNone/>
              <wp:docPr id="155" name="Rectangle 155"/>
              <wp:cNvGraphicFramePr/>
              <a:graphic xmlns:a="http://schemas.openxmlformats.org/drawingml/2006/main">
                <a:graphicData uri="http://schemas.microsoft.com/office/word/2010/wordprocessingShape">
                  <wps:wsp>
                    <wps:cNvSpPr/>
                    <wps:spPr>
                      <a:xfrm>
                        <a:off x="0" y="0"/>
                        <a:ext cx="7565390" cy="770561"/>
                      </a:xfrm>
                      <a:prstGeom prst="rect">
                        <a:avLst/>
                      </a:prstGeom>
                      <a:solidFill>
                        <a:srgbClr val="3CA7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73CA" id="Rectangle 155" o:spid="_x0000_s1026" style="position:absolute;margin-left:-62.25pt;margin-top:-37pt;width:595.7pt;height:60.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" fillcolor="#3ca7ae" stroked="f" strokeweight="1pt"/>
          </w:pict>
        </mc:Fallback>
      </mc:AlternateContent>
    </w:r>
    <w:r w:rsidR="008A65D9">
      <w:rPr>
        <w:rFonts w:ascii="Neris Light" w:hAnsi="Neris Light"/>
        <w:color w:val="FFFFFF" w:themeColor="background1"/>
      </w:rPr>
      <w:t>Charging and Remissions</w:t>
    </w:r>
    <w:r w:rsidR="00EE5E56">
      <w:rPr>
        <w:rFonts w:ascii="Neris Light" w:hAnsi="Neris Light"/>
        <w:color w:val="FFFFFF" w:themeColor="background1"/>
      </w:rPr>
      <w:t xml:space="preserve"> Policy</w:t>
    </w:r>
  </w:p>
  <w:p w14:paraId="3395B9E0" w14:textId="77777777" w:rsidR="00625B3E" w:rsidRDefault="00625B3E">
    <w:pPr>
      <w:pStyle w:val="Header"/>
    </w:pPr>
  </w:p>
  <w:p w14:paraId="7AB35963" w14:textId="77777777" w:rsidR="00406B2B" w:rsidRDefault="00406B2B"/>
  <w:p w14:paraId="53CB2C67" w14:textId="77777777" w:rsidR="00406B2B" w:rsidRDefault="00406B2B" w:rsidP="00751D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727"/>
    <w:multiLevelType w:val="hybridMultilevel"/>
    <w:tmpl w:val="6C2687AA"/>
    <w:lvl w:ilvl="0" w:tplc="2B48F2FC">
      <w:start w:val="4"/>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F488F"/>
    <w:multiLevelType w:val="hybridMultilevel"/>
    <w:tmpl w:val="7F80C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A29A6"/>
    <w:multiLevelType w:val="hybridMultilevel"/>
    <w:tmpl w:val="01603174"/>
    <w:lvl w:ilvl="0" w:tplc="A9C2215C">
      <w:start w:val="1"/>
      <w:numFmt w:val="bullet"/>
      <w:lvlText w:val=""/>
      <w:lvlJc w:val="left"/>
      <w:pPr>
        <w:ind w:left="624" w:hanging="2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0F12"/>
    <w:multiLevelType w:val="hybridMultilevel"/>
    <w:tmpl w:val="DD4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D0FBD"/>
    <w:multiLevelType w:val="hybridMultilevel"/>
    <w:tmpl w:val="F72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11"/>
    <w:rsid w:val="00017946"/>
    <w:rsid w:val="00093136"/>
    <w:rsid w:val="000A7458"/>
    <w:rsid w:val="001574B1"/>
    <w:rsid w:val="00183D47"/>
    <w:rsid w:val="001B7FEB"/>
    <w:rsid w:val="001D5A41"/>
    <w:rsid w:val="001F40E6"/>
    <w:rsid w:val="00214133"/>
    <w:rsid w:val="00243460"/>
    <w:rsid w:val="00291020"/>
    <w:rsid w:val="00405711"/>
    <w:rsid w:val="00406B2B"/>
    <w:rsid w:val="004D067A"/>
    <w:rsid w:val="00527855"/>
    <w:rsid w:val="00625B3E"/>
    <w:rsid w:val="00655725"/>
    <w:rsid w:val="00675BB9"/>
    <w:rsid w:val="006D6480"/>
    <w:rsid w:val="00751D50"/>
    <w:rsid w:val="00757EC5"/>
    <w:rsid w:val="007668A8"/>
    <w:rsid w:val="0078564A"/>
    <w:rsid w:val="00795080"/>
    <w:rsid w:val="007A117E"/>
    <w:rsid w:val="007A7B11"/>
    <w:rsid w:val="008144C2"/>
    <w:rsid w:val="0083676D"/>
    <w:rsid w:val="008812BB"/>
    <w:rsid w:val="008A3C70"/>
    <w:rsid w:val="008A65D9"/>
    <w:rsid w:val="009070AC"/>
    <w:rsid w:val="00977928"/>
    <w:rsid w:val="009F33D9"/>
    <w:rsid w:val="00AB6564"/>
    <w:rsid w:val="00B21541"/>
    <w:rsid w:val="00B30684"/>
    <w:rsid w:val="00C14915"/>
    <w:rsid w:val="00C36450"/>
    <w:rsid w:val="00CB10A7"/>
    <w:rsid w:val="00D14E0C"/>
    <w:rsid w:val="00DD0711"/>
    <w:rsid w:val="00E868D9"/>
    <w:rsid w:val="00EE5E56"/>
    <w:rsid w:val="00F02CC8"/>
    <w:rsid w:val="00F1157E"/>
    <w:rsid w:val="00F31610"/>
    <w:rsid w:val="00F915B7"/>
    <w:rsid w:val="00FC78CD"/>
    <w:rsid w:val="00FD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7A78"/>
  <w15:chartTrackingRefBased/>
  <w15:docId w15:val="{41F94F25-9FF3-D142-BC8D-C89C186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51D50"/>
    <w:pPr>
      <w:spacing w:line="480" w:lineRule="auto"/>
      <w:outlineLvl w:val="0"/>
    </w:pPr>
    <w:rPr>
      <w:rFonts w:ascii="Neris Light" w:hAnsi="Neris Light"/>
      <w:b/>
      <w:bCs/>
      <w:color w:val="3CA7AE"/>
      <w:sz w:val="28"/>
      <w:szCs w:val="28"/>
    </w:rPr>
  </w:style>
  <w:style w:type="paragraph" w:styleId="Heading2">
    <w:name w:val="heading 2"/>
    <w:basedOn w:val="Normal"/>
    <w:next w:val="Normal"/>
    <w:link w:val="Heading2Char"/>
    <w:uiPriority w:val="9"/>
    <w:unhideWhenUsed/>
    <w:qFormat/>
    <w:rsid w:val="00751D50"/>
    <w:pPr>
      <w:spacing w:line="360" w:lineRule="auto"/>
      <w:outlineLvl w:val="1"/>
    </w:pPr>
    <w:rPr>
      <w:rFonts w:ascii="Neris Light" w:hAnsi="Neris Light"/>
      <w:b/>
      <w:bCs/>
      <w:color w:val="3CA7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50"/>
    <w:rPr>
      <w:rFonts w:ascii="Neris Light" w:hAnsi="Neris Light"/>
      <w:b/>
      <w:bCs/>
      <w:color w:val="3CA7AE"/>
      <w:sz w:val="28"/>
      <w:szCs w:val="28"/>
    </w:rPr>
  </w:style>
  <w:style w:type="paragraph" w:styleId="Header">
    <w:name w:val="header"/>
    <w:basedOn w:val="Normal"/>
    <w:link w:val="HeaderChar"/>
    <w:uiPriority w:val="99"/>
    <w:unhideWhenUsed/>
    <w:rsid w:val="00E868D9"/>
    <w:pPr>
      <w:tabs>
        <w:tab w:val="center" w:pos="4513"/>
        <w:tab w:val="right" w:pos="9026"/>
      </w:tabs>
    </w:pPr>
  </w:style>
  <w:style w:type="character" w:customStyle="1" w:styleId="HeaderChar">
    <w:name w:val="Header Char"/>
    <w:basedOn w:val="DefaultParagraphFont"/>
    <w:link w:val="Header"/>
    <w:uiPriority w:val="99"/>
    <w:rsid w:val="00E868D9"/>
  </w:style>
  <w:style w:type="paragraph" w:styleId="Footer">
    <w:name w:val="footer"/>
    <w:basedOn w:val="Normal"/>
    <w:link w:val="FooterChar"/>
    <w:uiPriority w:val="99"/>
    <w:unhideWhenUsed/>
    <w:rsid w:val="00E868D9"/>
    <w:pPr>
      <w:tabs>
        <w:tab w:val="center" w:pos="4513"/>
        <w:tab w:val="right" w:pos="9026"/>
      </w:tabs>
    </w:pPr>
  </w:style>
  <w:style w:type="character" w:customStyle="1" w:styleId="FooterChar">
    <w:name w:val="Footer Char"/>
    <w:basedOn w:val="DefaultParagraphFont"/>
    <w:link w:val="Footer"/>
    <w:uiPriority w:val="99"/>
    <w:rsid w:val="00E868D9"/>
  </w:style>
  <w:style w:type="character" w:styleId="Hyperlink">
    <w:name w:val="Hyperlink"/>
    <w:basedOn w:val="DefaultParagraphFont"/>
    <w:uiPriority w:val="99"/>
    <w:unhideWhenUsed/>
    <w:rsid w:val="00E868D9"/>
    <w:rPr>
      <w:color w:val="0563C1" w:themeColor="hyperlink"/>
      <w:u w:val="single"/>
    </w:rPr>
  </w:style>
  <w:style w:type="character" w:styleId="UnresolvedMention">
    <w:name w:val="Unresolved Mention"/>
    <w:basedOn w:val="DefaultParagraphFont"/>
    <w:uiPriority w:val="99"/>
    <w:semiHidden/>
    <w:unhideWhenUsed/>
    <w:rsid w:val="00E868D9"/>
    <w:rPr>
      <w:color w:val="605E5C"/>
      <w:shd w:val="clear" w:color="auto" w:fill="E1DFDD"/>
    </w:rPr>
  </w:style>
  <w:style w:type="paragraph" w:styleId="ListParagraph">
    <w:name w:val="List Paragraph"/>
    <w:basedOn w:val="Normal"/>
    <w:uiPriority w:val="34"/>
    <w:rsid w:val="009F33D9"/>
    <w:pPr>
      <w:ind w:left="720"/>
      <w:contextualSpacing/>
    </w:pPr>
  </w:style>
  <w:style w:type="character" w:styleId="PageNumber">
    <w:name w:val="page number"/>
    <w:basedOn w:val="DefaultParagraphFont"/>
    <w:uiPriority w:val="99"/>
    <w:semiHidden/>
    <w:unhideWhenUsed/>
    <w:rsid w:val="009F33D9"/>
  </w:style>
  <w:style w:type="character" w:customStyle="1" w:styleId="Heading2Char">
    <w:name w:val="Heading 2 Char"/>
    <w:basedOn w:val="DefaultParagraphFont"/>
    <w:link w:val="Heading2"/>
    <w:uiPriority w:val="9"/>
    <w:rsid w:val="00751D50"/>
    <w:rPr>
      <w:rFonts w:ascii="Neris Light" w:hAnsi="Neris Light"/>
      <w:b/>
      <w:bCs/>
      <w:color w:val="3CA7AE"/>
    </w:rPr>
  </w:style>
  <w:style w:type="paragraph" w:styleId="Title">
    <w:name w:val="Title"/>
    <w:aliases w:val="Document Title"/>
    <w:basedOn w:val="Normal"/>
    <w:next w:val="Normal"/>
    <w:link w:val="TitleChar"/>
    <w:uiPriority w:val="10"/>
    <w:qFormat/>
    <w:rsid w:val="00751D50"/>
    <w:pPr>
      <w:jc w:val="center"/>
    </w:pPr>
    <w:rPr>
      <w:rFonts w:ascii="Neris Light" w:hAnsi="Neris Light"/>
      <w:b/>
      <w:bCs/>
      <w:color w:val="3CA7AE"/>
      <w:sz w:val="104"/>
      <w:szCs w:val="104"/>
    </w:rPr>
  </w:style>
  <w:style w:type="character" w:customStyle="1" w:styleId="TitleChar">
    <w:name w:val="Title Char"/>
    <w:aliases w:val="Document Title Char"/>
    <w:basedOn w:val="DefaultParagraphFont"/>
    <w:link w:val="Title"/>
    <w:uiPriority w:val="10"/>
    <w:rsid w:val="00751D50"/>
    <w:rPr>
      <w:rFonts w:ascii="Neris Light" w:hAnsi="Neris Light"/>
      <w:b/>
      <w:bCs/>
      <w:color w:val="3CA7AE"/>
      <w:sz w:val="104"/>
      <w:szCs w:val="104"/>
    </w:rPr>
  </w:style>
  <w:style w:type="paragraph" w:customStyle="1" w:styleId="Body">
    <w:name w:val="Body"/>
    <w:basedOn w:val="Normal"/>
    <w:qFormat/>
    <w:rsid w:val="00F31610"/>
    <w:pPr>
      <w:spacing w:line="276" w:lineRule="auto"/>
      <w:ind w:left="-284"/>
    </w:pPr>
    <w:rPr>
      <w:rFonts w:ascii="Neris Light" w:hAnsi="Neris Light"/>
      <w:color w:val="595959" w:themeColor="text1" w:themeTint="A6"/>
      <w:sz w:val="20"/>
      <w:szCs w:val="20"/>
    </w:rPr>
  </w:style>
  <w:style w:type="table" w:styleId="TableGrid">
    <w:name w:val="Table Grid"/>
    <w:basedOn w:val="TableNormal"/>
    <w:uiPriority w:val="39"/>
    <w:rsid w:val="007A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
    <w:name w:val="Main Body"/>
    <w:rsid w:val="007A117E"/>
    <w:pPr>
      <w:adjustRightInd w:val="0"/>
      <w:snapToGrid w:val="0"/>
      <w:contextualSpacing/>
    </w:pPr>
    <w:rPr>
      <w:rFonts w:ascii="Neris Light" w:hAnsi="Neris Light"/>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7895F7A49A284D997F3B58AF3C0A1B" ma:contentTypeVersion="11" ma:contentTypeDescription="Create a new document." ma:contentTypeScope="" ma:versionID="199e7881418ffd99c28781e76af9a137">
  <xsd:schema xmlns:xsd="http://www.w3.org/2001/XMLSchema" xmlns:xs="http://www.w3.org/2001/XMLSchema" xmlns:p="http://schemas.microsoft.com/office/2006/metadata/properties" xmlns:ns2="7a6793f4-95c2-4677-ae6e-8e618eca3fe8" xmlns:ns3="cffe16d6-4622-4939-97da-12939c70a14c" targetNamespace="http://schemas.microsoft.com/office/2006/metadata/properties" ma:root="true" ma:fieldsID="796280a2b01aeb8b48a4422adc383c2c" ns2:_="" ns3:_="">
    <xsd:import namespace="7a6793f4-95c2-4677-ae6e-8e618eca3fe8"/>
    <xsd:import namespace="cffe16d6-4622-4939-97da-12939c70a1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793f4-95c2-4677-ae6e-8e618eca3f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f79ade7-7b61-4299-8f53-cd55630c3a4d}" ma:internalName="TaxCatchAll" ma:showField="CatchAllData" ma:web="7a6793f4-95c2-4677-ae6e-8e618eca3f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fe16d6-4622-4939-97da-12939c70a1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fe16d6-4622-4939-97da-12939c70a14c">
      <Terms xmlns="http://schemas.microsoft.com/office/infopath/2007/PartnerControls"/>
    </lcf76f155ced4ddcb4097134ff3c332f>
    <TaxCatchAll xmlns="7a6793f4-95c2-4677-ae6e-8e618eca3fe8" xsi:nil="true"/>
    <_dlc_DocId xmlns="7a6793f4-95c2-4677-ae6e-8e618eca3fe8">KUQR4KZ73MKF-693978124-5546</_dlc_DocId>
    <_dlc_DocIdUrl xmlns="7a6793f4-95c2-4677-ae6e-8e618eca3fe8">
      <Url>https://highwell.sharepoint.com/sites/HighWellReadOnly/_layouts/15/DocIdRedir.aspx?ID=KUQR4KZ73MKF-693978124-5546</Url>
      <Description>KUQR4KZ73MKF-693978124-5546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DD5CD-36B6-41E0-80C0-E668D59C02D7}">
  <ds:schemaRefs>
    <ds:schemaRef ds:uri="http://schemas.openxmlformats.org/officeDocument/2006/bibliography"/>
  </ds:schemaRefs>
</ds:datastoreItem>
</file>

<file path=customXml/itemProps2.xml><?xml version="1.0" encoding="utf-8"?>
<ds:datastoreItem xmlns:ds="http://schemas.openxmlformats.org/officeDocument/2006/customXml" ds:itemID="{C052FE7E-14FD-4EFC-9613-8CC963B381C7}">
  <ds:schemaRefs>
    <ds:schemaRef ds:uri="http://schemas.microsoft.com/sharepoint/events"/>
  </ds:schemaRefs>
</ds:datastoreItem>
</file>

<file path=customXml/itemProps3.xml><?xml version="1.0" encoding="utf-8"?>
<ds:datastoreItem xmlns:ds="http://schemas.openxmlformats.org/officeDocument/2006/customXml" ds:itemID="{194C211A-8ECD-47FA-B7C9-BCCDD5001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793f4-95c2-4677-ae6e-8e618eca3fe8"/>
    <ds:schemaRef ds:uri="cffe16d6-4622-4939-97da-12939c70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6DB3E-9869-43F7-BE3A-411800680755}">
  <ds:schemaRefs>
    <ds:schemaRef ds:uri="http://www.w3.org/XML/1998/namespace"/>
    <ds:schemaRef ds:uri="http://schemas.microsoft.com/office/2006/documentManagement/types"/>
    <ds:schemaRef ds:uri="cffe16d6-4622-4939-97da-12939c70a14c"/>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7a6793f4-95c2-4677-ae6e-8e618eca3fe8"/>
  </ds:schemaRefs>
</ds:datastoreItem>
</file>

<file path=customXml/itemProps5.xml><?xml version="1.0" encoding="utf-8"?>
<ds:datastoreItem xmlns:ds="http://schemas.openxmlformats.org/officeDocument/2006/customXml" ds:itemID="{AE0921C5-3886-4AF4-8CD3-38E2615BD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Bennett</dc:creator>
  <cp:keywords/>
  <dc:description/>
  <cp:lastModifiedBy>Katie Green</cp:lastModifiedBy>
  <cp:revision>4</cp:revision>
  <dcterms:created xsi:type="dcterms:W3CDTF">2024-11-08T10:40:00Z</dcterms:created>
  <dcterms:modified xsi:type="dcterms:W3CDTF">2024-11-12T14:37:00Z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0x010100FF7895F7A49A284D997F3B58AF3C0A1B</vt:lpwstr>
  </property>
  <property fmtid="{D5CDD505-2E9C-101B-9397-08002B2CF9AE}" pid="3" name="MediaServiceImageTags">
    <vt:lpwstr/>
  </property>
  <property fmtid="{D5CDD505-2E9C-101B-9397-08002B2CF9AE}" pid="4" name="_dlc_DocIdItemGuid">
    <vt:lpwstr>b5f01a6a-857f-4757-bc9d-a6f58abaab68</vt:lpwstr>
  </property>
</Properties>
</file>